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28 vom 9. Mai 2023</w:t>
      </w:r>
    </w:p>
    <w:p>
      <w:r>
        <w:t>VS Kantonsgericht, 2023-05-09, FR</w:t>
      </w:r>
    </w:p>
    <w:p>
      <w:r>
        <w:rPr>
          <w:b/>
        </w:rPr>
        <w:t xml:space="preserve">Quelle: </w:t>
      </w:r>
      <w:r>
        <w:t>https://mcp.opencaselaw.ch/entscheid/vs_gerichte_P1 21 28</w:t>
      </w:r>
    </w:p>
    <w:p>
      <w:r>
        <w:t>FR: VS_GERICHTE P1 21 28 du 9 mai 2023</w:t>
      </w:r>
    </w:p>
    <w:p>
      <w:r>
        <w:t>IT: VS_GERICHTE P1 21 28 del 9 maggio 2023</w:t>
      </w:r>
    </w:p>
    <w:p>
      <w:pPr>
        <w:pStyle w:val="Heading2"/>
      </w:pPr>
      <w:r>
        <w:t>Regeste</w:t>
      </w:r>
    </w:p>
    <w:p>
      <w:r>
        <w:t>P1 21 28 JUGEMENT DU 9 MAI 2023 Tribunal cantonal du Valais Cour pénale I Jérôme Emonet, juge ; Angèle de Preux-Bersier, greffière ad hoc ; en la cause Ministère public du canton du Valais, appelé, représenté par Madame Catherine de Roten, procureur auprès de l’Office régional du Valais central à Sion, et W _________, plaignante appelée, représentée par Me Patricia Clavien, avocate à Sion, et X _________, plaignante appelée, contre</w:t>
      </w:r>
    </w:p>
    <w:p>
      <w:pPr>
        <w:pStyle w:val="Heading2"/>
      </w:pPr>
      <w:r>
        <w:t>Erwägungen</w:t>
      </w:r>
    </w:p>
    <w:p>
      <w:r>
        <w:rPr>
          <w:b/>
        </w:rPr>
        <w:t>E. 5</w:t>
      </w:r>
    </w:p>
    <w:p>
      <w:r>
        <w:t>Le 1er janvier 2018 est entré en vigueur le nouveau droit des sanctions (RO 2016, p. 1249 ss). Dans la mesure où les actes reprochés au prévenu appelant sont antérieurs, puisqu’ils remontent au printemps 2016, mais que l’appel est toujours pendant, se pose la question du droit applicable.</w:t>
      </w:r>
    </w:p>
    <w:p>
      <w:r>
        <w:rPr>
          <w:b/>
        </w:rPr>
        <w:t>E. 5.1</w:t>
      </w:r>
    </w:p>
    <w:p>
      <w:r>
        <w:t>L'article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En pareil cas, cette dernière s'applique si elle est plus favorable à l'auteur que celle qui était en vigueur au moment de la commission de l'infraction.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et, le cas échéant, au droit de porter plainte (ATF 135 IV 113 consid. 2.1-2.2 et les références citées), ou à la fixation de la peine et à l’octroi du sursis (DUPUIS et al., Code pénal, Petit commentaire, 2e éd. 2017, n. 22 in fine ad art. 2 CP).</w:t>
      </w:r>
    </w:p>
    <w:p>
      <w:r>
        <w:rPr>
          <w:b/>
        </w:rPr>
        <w:t>E. 5.2</w:t>
      </w:r>
    </w:p>
    <w:p>
      <w:r>
        <w:t>En l’occurrence, l’entrée en vigueur du nouveau droit n’a affecté ni les conditions légales de l’infraction retenue à la charge de l’appelant – soit celle de lésions corporelles par négligence –, ni les conditions de sa poursuite. La comparaison porte exclusivement sur la sanction. Que ce soit en vertu du droit antérieur au 1er janvier 2018 ou du droit actuellement en vigueur, les lésions corporelles par négligence au sens de l’article 125 CP sont toujours passible d’une peine privative de liberté de trois ans au plus ou d'une peine pécuniaire. D’une manière très résumée, le nouveau droit a marqué le retour des courtes peines privatives de liberté, puisque le juge peut prononcer celles-ci dès une peine de trois jours, et non plus de six mois (comparer la version de l’article 40 al. 1 CP dans sa teneur jusqu’au 31 décembre 2017 puis dans celle en vigueur depuis le 1er janvier 2018). Quant à la peine pécuniaire, elle peut être prononcée en vertu du nouveau droit pour une sanction comprise entre trois et 180 jours (art. 34 al. 1 CP), et non plus jusqu’à 360 jours</w:t>
      </w:r>
    </w:p>
    <w:p>
      <w:r>
        <w:t>- 14 - comme auparavant (KUHN, Le droit des sanctions version 2018, in DUPONT/KUHN [éd.], Droit pénal – Evolutions en 2018, Bâle/Neuchâtel 2017, p. 1 ss, nos 25 et 26, p. 15). Les conditions d’octroi du sursis partiel à une peine privative de liberté comprise entre un an au moins et trois ans au plus (art. 43 CP) n’ont pas connu de modifications. En revanche, le nouveau droit a supprimé la possibilité du sursis partiel pour les peines pécuniaires (comparer la version de l’article 43 al. 1 CP dans sa teneur jusqu’au 31 décembre 2017 puis dans celle en vigueur depuis le 1er janvier 2018 ; CUENDET/GENTON, La fixation de la peine et le sursis à l’aune du nouveau droit des sanctions, in forum poenale 2017, p. 320 ss, spéc. p. 327), étant ici rappelé qu’une peine pécuniaire constitue la sanction principale dans le domaine de la petite et moyenne criminalité, les peines privatives de liberté ne devant être prononcées que lorsque l'Etat ne peut garantir d'une autre manière la sécurité publique (ATF144 IV 313 consid. 1.1.1 et les références citées). Dès lors qu’en cas de verdict de condamnation, seul le prononcé d’une peine pécuniaire supérieure à trois jours entre concrètement en considération, le nouveau droit des sanctions ne s’avère – au terme de la comparaison qui précède – pas plus clément que l’ancien. Partant, ce dernier demeure applicable à l’égard de l’appelant.</w:t>
      </w:r>
    </w:p>
    <w:p>
      <w:r>
        <w:rPr>
          <w:b/>
        </w:rPr>
        <w:t>E. 6</w:t>
      </w:r>
    </w:p>
    <w:p>
      <w:r>
        <w:t>Le prévenu appelant conteste avoir transgressé l’article 125 al. 2 CP s’agissant des faits dénoncés par W _________. En particulier, il fait valoir que l’état actuel des lésions n’a pas suffisamment été documenté, de sorte que celles-ci ne peuvent être considérées comme étant permanentes, ni comme présentant un degré de gravité assimilable à une défiguration au sens de l’article 122 al. 2 CP ou permettant l’application de la clause générale prévue à l’article 122 al. 3 CP. Il invoque, en outre, le fait que les conditions de l’action publique ne sont pas réunies, dès lors que la partie plaignante a déposé une plainte pénale le 4 août 2016, soit après le délai de trois mois suivant les faits, qui se sont déroulés le 25 avril 2016 (art. 31 CP). Quant au procureur, il conteste la qualification retenue s’agissant des lésions subies par X _________, lesquelles auraient dû, selon lui, être qualifiées de lésions corporelles graves, entraînant dès lors l’application de l’article 125 al. 2 CP. En outre, lors des débats d’appel, il a plaidé que les conditions permettant de qualifier les lésions de W _________ de graves étaient réunies et que, en tout état, la plainte pénale avait été valablement déposée, ce que celle-ci a également soutenu.</w:t>
      </w:r>
    </w:p>
    <w:p>
      <w:r>
        <w:rPr>
          <w:b/>
        </w:rPr>
        <w:t>E. 7.1</w:t>
      </w:r>
    </w:p>
    <w:p>
      <w:r>
        <w:t>- 15 -</w:t>
      </w:r>
    </w:p>
    <w:p>
      <w:r>
        <w:rPr>
          <w:b/>
        </w:rPr>
        <w:t>E. 7.1.1</w:t>
      </w:r>
    </w:p>
    <w:p>
      <w:r>
        <w:t>Le juge précédent a rappelé de manière exhaustive la teneur et la portée de l’article 125 CP, de sorte qu’il peut y être fait référence (jugement attaqué, consid. 1 ss, p. 29 ss). On peut y ajouter les considérations suivantes relatives au respect du délai de plainte au sens de l’article 31 CP.</w:t>
      </w:r>
    </w:p>
    <w:p>
      <w:r>
        <w:rPr>
          <w:b/>
        </w:rPr>
        <w:t>E. 7.1.2</w:t>
      </w:r>
    </w:p>
    <w:p>
      <w:r>
        <w:t>Selon l’article 31 CP, le droit de porter plainte se prescrit par trois mois. Il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(ATF 121 IV 272 consid. 2a ; 101 VI 113 consid. 1b). Aux termes de l'article 110 al. 6 CP, le jour est compté à raison de vingt-quatre heures consécutives, tandis que le mois et l'année sont comptés de quantième à quantième. Cette disposition s'applique notamment au délai de trois mois prévu par l'article 31 CP. Dans un arrêt de principe publié aux ATF 97 IV 238, qui s'écarte d'une jurisprudence antérieure, le Tribunal fédéral a précisé que le jour duquel court le délai de plainte au sens de l'article 31 CP ne doit pas être compté. Quoiqu'elle déroge à la lettre de l'article 31 CP, la solution consistant à décompter le délai de plainte de trois mois, non pas du jour où l'ayant droit a eu connaissance de l'auteur de l'infraction, mais à partir du lendemain, s'impose dans la mesure où elle correspond à la règle générale selon laquelle un délai dont le début dépend d'une communication ou de la survenance d'un événement court dès le lendemain de celles-ci. Dans cette optique, le jour où survient l'événement qui déclenche le délai n'est pas pris en considération dans le calcul du délai, puisqu'au moment où cet événement se produit, seule une fraction du jour concerné demeure à disposition pour agir. Cette approche commande au demeurant de distinguer le jour où survient l'évènement qui déclenche le délai (Fristauslösung ; fristauslösender Sachverhalt) du jour où le délai commence effectivement à courir. Tous deux se succèdent mais ne coïncident pas. Le délai est ainsi déclenché le jour où survient un événement déterminé – en l'occurrence la connaissance de l'auteur de l'infraction –, tandis que le cours du délai proprement dit commence avec le changement de date, à 00h00. Sous cet angle, le dies a quo, dès lors qu'il n'entre pas en ligne de compte dans le calcul du délai, s'assimile au jour où survient l'événement qui déclenche ce même délai, mais non au jour où celui-ci commence effectivement à courir. Pour sa part, la règle de calcul en quantième des délais fixés en mois qu'exprime l'article 110 al.</w:t>
      </w:r>
    </w:p>
    <w:p>
      <w:r>
        <w:t>- 16 - 6 CP vise à tenir compte du fait que le nombre de jours par mois varie (28, 29, 30 ou 31 jours). En lui-même, l'article 110 al. 6 CP n'indique toutefois pas comment définir le quantième déterminant. Le Tribunal fédéral a cependant précisé que lorsqu'un délai est exprimé en mois, il expire le jour qui correspond par son quantième à celui de l'événement qui le déclenche ou, à défaut de jour correspondant, le dernier jour du mois (ATF 144 IV 161 consid. 2.1-2.2 et les références citées). Le délai institué par l'article 31 CP étant un délai de péremption, il ne peut être ni interrompu ni prolongé (ATF 118 IV 325 consid. 2b). Tout au plus, son terme est reporté au prochain jour ouvrable lorsqu'il tombe un samedi, un dimanche ou un jour férié selon le droit du for (ATF 83 IV 185).</w:t>
      </w:r>
    </w:p>
    <w:p>
      <w:r>
        <w:rPr>
          <w:b/>
        </w:rPr>
        <w:t>E. 7.2.1</w:t>
      </w:r>
    </w:p>
    <w:p>
      <w:r>
        <w:t>A la suite du traitement effectué le 25 avril 2016 par le prévenu, W _________ a subi une gelure de 18x6cm au 2ème degré sur l’abdomen, laquelle a laissé une cicatrice sur le bas-ventre, qui a, selon elle, persisté jusqu’à un an après les faits. Toutefois, aucune pièce au dossier ne permettant de déterminer l’évolution de celle-ci, il a été circonscrit en faits qu’il n’existait plus de trace visible sur le corps de la partie plaignante au moment où le premier jugement a été rendu déjà (consid. 4.5.4 ci-dessus). En outre, la lésion subie n’a nécessité un arrêt de travail à 100% que durant une période de deux semaines, soit du 27 avril au 9 mai 2016, ce qui est relativement court et ne permet pas l’application de la clause générale de l’article 122 al. 3 CP (cf. arrêt 6B_491/2021 précité consid. 2.1.1). Ainsi, il ne peut être considéré que la vie de la partie plaignante aurait été mise en danger ni qu’elle aurait subi une mutilation grave et permanente de son corps. Les conditions de l’article 122 CP ne sont par conséquent pas réalisées en l’espèce, de sorte que, contrairement à ce qu’a considéré le premier juge, l’importance de l’atteinte subie n’est pas suffisante pour qualifier celle-ci de lésion corporelle grave.</w:t>
      </w:r>
    </w:p>
    <w:p>
      <w:r>
        <w:rPr>
          <w:b/>
        </w:rPr>
        <w:t>E. 7.2.2</w:t>
      </w:r>
    </w:p>
    <w:p>
      <w:r>
        <w:t>Les faits litigieux sont survenus le 25 avril 2016. Au terme de la séance de cryolipolyse, lorsque le prévenu a retiré l’appareil du corps de W _________, il a directement remarqué que la peau avait été brûlée lors de l’intervention et le lui a alors indiqué. Il a également appliqué une crème sur la brûlure pour en alléger les symptômes. C’est donc à ce moment-là que la partie plaignante a eu connaissance de l’existence de la lésion corporelle, étant précisé qu’elle était en mesure d'individualiser le prévenu, sans confusion possible. Lors des débats d’appel, le procureur, soutenu par la mandataire de W _________, a plaidé que le délai de plainte devait, en réalité, partir du jour où elle a eu connaissance de la gravité des lésions, à savoir le 4 mai 2016, date de l’examen médical prodigué par le Dr BB _________. Or, d’une part, il n’est pas contesté que la partie plaignante a elle-</w:t>
      </w:r>
    </w:p>
    <w:p>
      <w:r>
        <w:t>- 17 - même immédiatement constaté la lésion subie le 25 avril 2016. D’autre part, elle a, le même jour, été examinée par la Dresse AA _________, qui a été parfaitement capable de se déterminer sur l’état de celle-ci. Ainsi, même à considérer que l’on doive tenir compte d’une éventuelle consultation médicale comme dies a quo du délai de l’article 31 CP, ce qui ne convainc pas le juge soussigné, celui-ci aurait, quoiqu’il en soit, expiré le 25 juillet 2016 à minuit, soit plusieurs jours avant le dépôt de la plainte pénale du 4 août 2016 (dos. p. 24 R10). Il en résulte, par conséquent, l'abandon de l'infraction de lésion corporelle par négligence au sens de l’article 125 al. 1 CP pour ce complexe de faits.</w:t>
      </w:r>
    </w:p>
    <w:p>
      <w:r>
        <w:rPr>
          <w:b/>
        </w:rPr>
        <w:t>E. 7.3</w:t>
      </w:r>
    </w:p>
    <w:p>
      <w:r>
        <w:t>S’agissant de X _________, elle a présenté, à la suite du traitement effectué le 28 mai 2016 par le prévenu, une zone péri-ombilicale séquellaire de brûlure avec une forte dyschromie et a subi une abdominoplastie avec transposition de l'ombilic, ablation de toute la peau séquellaire de brûlure et réalisation de la cicatrice au niveau sus-pubien. La vie de la plaignante n’a pas été mise en danger et il ne peut être retenu qu’elle aurait subi une mutilation grave et permanente de son corps. En outre, il n’a été ni allégué ni démontré qu’elle aurait dû subir une hospitalisation ou un arrêt de travail de plusieurs mois. Ainsi, les conditions de l’article 122 CP, y compris celles de la clause générale de l’al. 3, ne sont pas réalisées en l’espèce, de sorte que l’importance de l’atteinte subie n’est pas suffisante pour qualifier celle-ci de lésion corporelle grave. La réalisation des autres éléments constitutifs de l’infraction n’est, à juste titre, pas remise en cause. Le juge de céans fait, dès lors, siens les développements y relatifs exposés par le premier juge (jugement entrepris, consid. 4 et 5, p. 33 ss). Le jugement de première instance doit par conséquent être confirmé en ce qu’il reconnait l’accusé coupable de lésions corporelles par négligence au sens de l’article 125 al. 1 CP en lien avec ce complexe de faits.</w:t>
      </w:r>
    </w:p>
    <w:p>
      <w:r>
        <w:rPr>
          <w:b/>
        </w:rPr>
        <w:t>E. 8</w:t>
      </w:r>
    </w:p>
    <w:p>
      <w:r>
        <w:t>Le prévenu et le procureur ont tous deux contesté la quotité de la peine prononcée par le précédent magistrat. S’agissant en particulier du procureur, il l’estime insuffisante et fixée en violation des principes ancrés aux articles 47 ss CP. Compte tenu de l’abandon d’une des infractions reprochées à l’appelant, la peine doit nécessairement être réexaminée.</w:t>
      </w:r>
    </w:p>
    <w:p>
      <w:r>
        <w:rPr>
          <w:b/>
        </w:rPr>
        <w:t>E. 8.1</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- 18 -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8.2</w:t>
      </w:r>
    </w:p>
    <w:p>
      <w:r>
        <w:t>Il y a concours réel (art. 49 al. 1 CP) lorsque l’auteur encourt plusieurs peines pour avoir, par deux ou plusieurs actes distincts, réalisé les éléments constitutifs soit d’infractions différentes soit de la même infraction à plusieurs reprises. La notion de délit successif (ou continué) ayant été abandonnée (ATF 117 IV 408 consid. 4d), le fait de commettre des infractions identiques ou semblables, même s’il s’agit de la même victime, constitue en principe un concours réel dès que l’auteur a agi plus d’une seule fois (STOLL, in Commentaire romand, Code pénal I, 2e éd. 2019, n. 7 ad art. 49 CP et les références citées ; DUPUIS et al., op. cit., n. 8 ad art. 49 CP). Il ne peut toutefois y avoir de concours réel que si les différents actes commis ne forment aucune unité – juridique ou naturelle – d’actions (DUPUIS et al., op.cit., n. 9 in fine ad art. 49 CP ; WOHLERS et al., Schweizerisches Strafgesetzbuch, Handkommentar, 4. Aufl. 2020, n. 11-12 ad Vor Art. 49CP). 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 ATF 132 IV 409 consid.3.1.1.3 ; 131 IV 83 consid. 2.4.5). Il y a unité naturelle d'actions lorsque des actes séparés procèdent d'une décision unique et apparaissent objectivement comme des événements formant un ensemble en raison de leur relation étroite dans le temps et dans l'espace. Cela vise la commission répétée d'infractions ou la commission d'une infraction par étapes successives (ATF 132 IV 49 consid. 3.1.1.3 ; arrêt 6B_472/2011 du 14 mai 2012 consid. 13.5.1).</w:t>
      </w:r>
    </w:p>
    <w:p>
      <w:r>
        <w:rPr>
          <w:b/>
        </w:rPr>
        <w:t>E. 8.3</w:t>
      </w:r>
    </w:p>
    <w:p>
      <w:r>
        <w:t>Au moment de fixer la peine, le juge doit également prendre en considération les circonstances atténuantes (art. 48 CP). En présence de telles circonstances, le juge atténue la peine. C’est notamment le cas lorsque l’intérêt à punir a sensiblement diminué</w:t>
      </w:r>
    </w:p>
    <w:p>
      <w:r>
        <w:t>- 19 - en raison du temps écoulé et du bon comportement de l’auteur dans l’intervalle (art. 48 let. e CP). En outre, 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consid. 5.1). La violation du principe de la célérité peut avoir pour conséquence la diminution de la peine, parfois l'exemption de toute peine ou encore une ordonnance de classement en tant qu'ultima ratio dans les cas les plus extrêmes (ATF 143 IV 373 consid. 1.4.1). Il incombe au juge d'indiquer comment et dans quelle mesure il a tenu compte de cette circonstance (ATF 117 IV 124 consid. 3 et 4).</w:t>
      </w:r>
    </w:p>
    <w:p>
      <w:r>
        <w:rPr>
          <w:b/>
        </w:rPr>
        <w:t>E. 8.4.1</w:t>
      </w:r>
    </w:p>
    <w:p>
      <w:r>
        <w:t>La situation personnelle du prévenu a été exposée au consid. 4.1 ci-dessus. Du point de vue subjectif, le juge soussigné partage la conviction du premier juge selon laquelle la culpabilité du prévenu doit être qualifiée de moyenne. En effet, bien que la poursuite ait été abandonnée s’agissant des faits dénoncés par W _________, l’existence des lésions n’a pas été remise en cause par le prévenu, qui a admis, dans son écriture d’appel, qu’elles pouvaient être qualifiées de lésions corporelles simples, mais qui s’est prévalu, à juste titre, de la tardiveté de la plainte. En outre, il y a lieu de considérer la chronologie des faits, à savoir que les deux évènements litigieux ont eu lieu à un peu plus d’un mois d’écart. Ainsi, alors même qu’il avait pu constater les lésions subies par W _________, le prévenu a proposé un traitement similaire à X _________ sans toutefois tenter de comprendre ce qui s’était mal passé lors du premier traitement, prenant le risque de mettre en danger l’intégrité corporelle d’un futur client, risque qui s’est finalement réalisé. Cela étant, le prévenu a réitéré à plusieurs reprises ne jamais avoir voulu blesser ces deux femmes et n’a, à aucun moment, cherché à minimiser leur souffrance ni à nier ses actes.</w:t>
      </w:r>
    </w:p>
    <w:p>
      <w:r>
        <w:rPr>
          <w:b/>
        </w:rPr>
        <w:t>E. 8.4.2</w:t>
      </w:r>
    </w:p>
    <w:p>
      <w:r>
        <w:t>Après prise en compte de ces éléments, de la pleine responsabilité du prévenu, de son comportement en procédure et du temps relativement long écoulé, l’autorité de première instance a considéré que le prononcé d’une peine pécuniaire de 100 jours- amende, assortie d’une amende de 300 fr. (art. 42al. 4 CP), constituait une sanction nécessaire et suffisante à l’encontre de l’intéressé (jugement entrepris, consid. 2, p. 41). Le juge de céans considère toutefois, en accord avec le représentant du Ministère public, que celle-ci est trop légère au vu des faits dénoncés et du concours d’infractions en</w:t>
      </w:r>
    </w:p>
    <w:p>
      <w:r>
        <w:t>- 20 - présence. En effet, compte tenu de cette circonstance aggravante, le cadre maximal de la peine se monte à 4 ½ ans de privation de liberté (3 ans x 1,5 ; cf. art. 125 al. 1 CP et art. 91 al. 2 LCR). En tenant compte des facteurs pris en considération par le premier magistrat, le juge de céans considère qu’une peine de l’ordre de 120 jours-amende aurait paru adéquate pour sanctionner le comportement pénalement répréhensible de l’appelant. Cela étant, compte tenu de l’abandon de l’infraction de l’article 125 al. 1 CP en lien avec le complexe de faits dénoncé par W _________, celle-ci doit être ramenée à 80 jours-amende.</w:t>
      </w:r>
    </w:p>
    <w:p>
      <w:r>
        <w:rPr>
          <w:b/>
        </w:rPr>
        <w:t>E. 8.4.3</w:t>
      </w:r>
    </w:p>
    <w:p>
      <w:r>
        <w:t>Le délai de prescription de l’action pénale est de dix ans (art. 97 al. 1 let. c CP) pour les lésions corporelles simples par négligence (art. 125 al. 1 CP) et pour la conduite en état d’ébriété qualifié (art. 91 al. 2 let. a LCR), et de sept ans (art. 97 al. 1 let. d CP) pour la violation à la loi sur la santé. Le dernier acte reproché au prévenu datant du 23 mars 2019 (point de départ du temps écoulé depuis les derniers actes ; arrêt 6B_1115/2018 du 10 janvier 2019 consid. 2.3), soit il y a un peu plus de 4 ans, il n’y a pas lieu de faire application de la circonstance atténuante tirée de l’article 48 let. e CP, les deux tiers des délais de prescription précités n’étant largement pas écoulés en l’espèce (cf. ATF 140 IV 145 consid. 3.1).</w:t>
      </w:r>
    </w:p>
    <w:p>
      <w:r>
        <w:rPr>
          <w:b/>
        </w:rPr>
        <w:t>E. 8.4.4</w:t>
      </w:r>
    </w:p>
    <w:p>
      <w:r>
        <w:t>Une violation du principe de célérité en procédure d’instruction et en appel doit toutefois être prise en considération. En effet, il s’est écoulé plus de quatre ans entre la dénonciation pénale de l’Office du médecin cantonal du 11 juillet 2016 et le dépôt de l’acte d’accusation du 30 septembre 2020, puis près de deux ans entre l’appel joint du procureur du 1er avril 2020 et les débats d’appel du 25 avril 2023. Or, de telles périodes d’inactivité ne sont justifiées ni par l’ampleur du dossier, ni par sa complexité. Dès lors, l’autorité d’appel estime qu’il est justifié de réduire la peine de 80 jours-amende retenue ci-dessus (consid. 9.5.2) pour l’arrêter à 60 jours-amende.</w:t>
      </w:r>
    </w:p>
    <w:p>
      <w:r>
        <w:rPr>
          <w:b/>
        </w:rPr>
        <w:t>E. 8.5</w:t>
      </w:r>
    </w:p>
    <w:p>
      <w:r>
        <w:t>Le premier juge a fixé le montant du jour-amende à 30 fr., en tenant compte d’un revenu de 3'500 fr. brut par mois et de charges qui ne pouvaient, selon lui, être clairement établies (jugement entrepris, consid. 4, p. 42). Compte tenu des pièces versées en cause, il y avait néanmoins lieu de tenir compte d’un revenu mensuel net de 4092 fr.75 et de charges mensuelles totales de 1433 fr.40 (primes d’assurance maladie, impôts, frais d’acquisition du revenu), les autres charges alléguées par le prévenu ne pouvant être pris en compte. En particulier, le versement de contributions d’entretien par le prévenu en faveur de ses enfants n’a pas été suffisamment prouvé. En effet, celui n’a pas produit qu’un relevé bancaire mentionnant un ordre permanent d’une somme de 1000 fr. à son ex-épouse alors même que les deux enfants sont majeurs, de sorte qu’une</w:t>
      </w:r>
    </w:p>
    <w:p>
      <w:r>
        <w:t>- 21 - éventuelle contribution d’entretien devrait leur être payée directement (cf. art. 277 et 289 al. 1 CC). Ainsi, le montant du jour-amende aurait dû être fixé à 90 francs. Cela étant, dès lors que la situation financière de l’appelant ne semble pas s’être modifiée depuis le jugement de première instance (ATF 144 IV 198 consid. 5.4) et que le procureur n’a pas contesté le montant du jour-amende arrêté par le précédent magistrat, il n’y a pas lieu de s’écarter du jugement entrepris.</w:t>
      </w:r>
    </w:p>
    <w:p>
      <w:r>
        <w:rPr>
          <w:b/>
        </w:rPr>
        <w:t>E. 8.6</w:t>
      </w:r>
    </w:p>
    <w:p>
      <w:r>
        <w:t>Le montant de l’amende fixé par le premier juge à 300 fr. n’a pas été remis en cause par les parties appelantes, de sorte que, sur le principe, il pourrait être confirmé. Cela étant, on peut concéder que le prévenu a pris conscience du caractère répréhensible de son comportement, ce qui découle de l’absence de condamnation depuis les derniers faits qui lui sont reprochés, lesquels datent d’il y a quatre ans déjà. Il n’y a, dès lors, pas lieu de considérer qu’il n’a pas compris la portée de la sanction pénale. A cela s’ajoute la durée de la présente procédure qui a commencé il y a sept ans et n’a pu qu’engendrer des frais conséquents. Dans ces conditions, il n’y a pas lieu de condamner le prévenu à une amende additionnelle ferme, respectivement à exécuter une peine privative de liberté de substitution en cas de non-paiement fautif de l’amende (art. 106 al. 2 CP).</w:t>
      </w:r>
    </w:p>
    <w:p>
      <w:r>
        <w:rPr>
          <w:b/>
        </w:rPr>
        <w:t>E. 8.7</w:t>
      </w:r>
    </w:p>
    <w:p>
      <w:r>
        <w:t>Le juge de céans partage la conviction du premier juge selon laquelle les conditions d’octroi du sursis à l'exécution de la peine pécuniaire (art. 42 CP) sont réalisées en l’espèce, ce qui n’est par ailleurs pas contesté. Dès lors, il y a lieu de confirmer le sursis. Le délai d’épreuve est néanmoins réduit à deux ans pour tenir compte notamment de l’abandon d’une partie des poursuites, de l’absence de comportement défavorable de l’appelant depuis la dernière infraction et du temps écoulé depuis les faits reprochés (art. 44 al. 1 CP).</w:t>
      </w:r>
    </w:p>
    <w:p>
      <w:r>
        <w:t>- 22 - L’appelant est rendu expressément attentif au fait qu'il n'aura pas à exécuter la peine assortie du sursis s’il subit la mise à l'épreuve avec succès. Le sursis pourra en revanche être révoqué s’il commet un crime ou un délit durant le délai d'épreuve et que son comportement dénote un risque de le voir perpétrer de nouvelles infractions.</w:t>
      </w:r>
    </w:p>
    <w:p>
      <w:r>
        <w:rPr>
          <w:b/>
        </w:rPr>
        <w:t>E. 9</w:t>
      </w:r>
    </w:p>
    <w:p>
      <w:r>
        <w:t>Non remis en cause, la confiscation et la dévolution à l’Etat des appareils de cryolipolyse bleu no XXX1 (objet no x1), de cryolipolyse U _________ blanc à 2 têtes, modèle no xxxxx1 (objet no x2) et de cryolipolyse U _________ à 3 têtes, modèle no xxxxx2 (objet no x3), ainsi que de l'attestation massage classique (objet no x4), de la copie de document médecin cantonal du 6 décembre 2016 (objet no x5) et des 111 dossiers de clients (objet no x6) sont confirmées.</w:t>
      </w:r>
    </w:p>
    <w:p>
      <w:r>
        <w:rPr>
          <w:b/>
        </w:rPr>
        <w:t>E. 10</w:t>
      </w:r>
    </w:p>
    <w:p>
      <w:r>
        <w:t>Il en va de même du renvoi des prétentions civiles de X _________ au for civil et des prétentions de A _________ au for ordinaire. S’agissant du renvoi des prétentions civiles de W _________ au for civil, il est relevé que, non seulement celui-ci n’a pas fait l’objet d’un appel, mais qu’au demeurant, le sort de la procédure commande de le confirmer (art. 126 al. 2 let. a CPP).</w:t>
      </w:r>
    </w:p>
    <w:p>
      <w:r>
        <w:rPr>
          <w:b/>
        </w:rPr>
        <w:t>E. 11</w:t>
      </w:r>
    </w:p>
    <w:p>
      <w:r>
        <w:t>Il n’y a pas lieu de rediscuter la quotité – non contestée et fixée conformément aux dispositions applicables – des frais du Ministère public (1'800 fr.) et de ceux du tribunal de district (1’200 fr.).</w:t>
      </w:r>
    </w:p>
    <w:p>
      <w:r>
        <w:rPr>
          <w:b/>
        </w:rPr>
        <w:t>E. 11.1</w:t>
      </w:r>
    </w:p>
    <w:p>
      <w:r>
        <w:t>Le sort des frais de la procédure d'appel est réglé à l'article 428 al. 1 CPP, lequel prévoit leur prise en charge par les parties dans la mesure où elles ont obtenu gain de cause ou succombé. L'émolument est compris entre 380 et 6’000 francs (art. 22 let. f LTar). Pour déterminer si une partie succombe ou obtient gain de cause, il faut examiner dans quelle mesure ses conclusions sont admises en deuxième instance (arrêt 6B_1192/2019 du 28 février 2020 consid. 3.1). Si, comme en l’espèce, l’autorité d’appel rend elle-même une nouvelle décision, elle se prononce également sur les frais de première instance (art. 428 al. 3 CPP). Selon l'article 426 al. 1 CPP, le prévenu supporte les frais de procédure s'il est condamné. Aux termes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w:t>
      </w:r>
    </w:p>
    <w:p>
      <w:r>
        <w:t>- 23 - le point sur lequel le prévenu a été acquitté a donné lieu à des frais supplémentaires et si le prévenu n'a pas, de manière illicite et fautive, provoqué l'ouverture de la procédure ou rendu plus difficile la conduite de celle-ci (art. 426 al. 2 CPP). Comme il est délicat de déterminer avec exactitude les frais qui relèvent de chaque fait imputable ou non au condamné, une certaine marge d'appréciation doit être laissée à la cour cantonale (arrêt 6B_1047/2020 du 5 mai 2021 consid. 2.1 et les références citées).</w:t>
      </w:r>
    </w:p>
    <w:p>
      <w:r>
        <w:rPr>
          <w:b/>
        </w:rPr>
        <w:t>E. 11.2</w:t>
      </w:r>
    </w:p>
    <w:p>
      <w:r>
        <w:t>L’appel joint du procureur est rejeté tandis que la poursuite du prévenu a été abandonnée s’agissant des faits dénoncés par W _________. Bien que les actes d’instruction accomplis en lien avec cette dernière n’étaient pas entièrement pertinents pour fonder les infractions envisagées, le prévenu a tout de même été condamné pour la plupart des comportements délictueux pour lesquels il a été renvoyé à jugement. En outre, l’abandon de la poursuite précitée est dû à la requalification des lésions subies par la partie plaignante et la tardiveté de sa plainte, l’existence d’un comportement illicite du prévenu à son encontre n’étant pas remis en cause par celui-ci. En conséquence, il paraît justifié de mettre la moitié des frais d’instruction et de première instance, soit 1’500 fr., à la charge de celui-ci, le solde devant être supporté par l’Etat.</w:t>
      </w:r>
    </w:p>
    <w:p>
      <w:r>
        <w:rPr>
          <w:b/>
        </w:rPr>
        <w:t>E. 11.3</w:t>
      </w:r>
    </w:p>
    <w:p>
      <w:r>
        <w:t>Le sort des frais de la procédure d'appel est réglé à l'article 428 al. 1 CPP, lequel prévoit leur prise en charge par les parties dans la mesure où elles ont obtenu gain de cause ou succombé. L'émolument est compris entre 380 fr. et 6000 francs (art. 22 let. f LTar). En l’espèce, la cause présentait un degré de difficulté usuel. Eu égard, en outre, aux principes de l'équivalence des prestations et de la couverture des frais, ainsi qu'à la situation pécuniaire du prévenu, les frais de justice sont fixés à 800 fr., débours compris, lesquels, compte tenu de l’issue de la présente procédure, sont mis à la charge de l’Etat.</w:t>
      </w:r>
    </w:p>
    <w:p>
      <w:r>
        <w:rPr>
          <w:b/>
        </w:rPr>
        <w:t>E. 12.1</w:t>
      </w:r>
    </w:p>
    <w:p>
      <w:r>
        <w:t>Selon l'article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(art. 429 CPP) doit être traitée en relation avec celle des frais (art. 426 CPP). Si le prévenu supporte les frais en application de l'article 426 al. 1 ou 2 CPP, une indemnité est en règle générale exclue. En revanche, si l'État supporte les frais de la procédure pénale, le prévenu a en principe droit à une indemnité selon l'article 429 CPP (ATF 137 IV 352 consid. 2.4.2 et 144 IV 207 consid. 1.8.2).</w:t>
      </w:r>
    </w:p>
    <w:p>
      <w:r>
        <w:t>- 24 -</w:t>
      </w:r>
    </w:p>
    <w:p>
      <w:r>
        <w:rPr>
          <w:b/>
        </w:rPr>
        <w:t>E. 12.2</w:t>
      </w:r>
    </w:p>
    <w:p>
      <w:r>
        <w:t>En première instance, l’activité du mandataire du prévenu a consisté en la rédaction de quinze lettres, déterminations et réquisitions (2 heures), ainsi qu’en la participation à quatre audiences pour une durée totale d’environ 7 heures. A cela, il faut ajouter le temps qu’il a dû passer à prendre connaissance du dossier et à étudier celui-ci, temps pouvant être estimé à 4 heures, les plus de 7h30 ressortant du décompte LTar de cet avocat du 8 février 2021 (dos. p. 404) étant quelque peu excessifs au vu de l’importance et de la difficulté somme toute relatives de la cause. De même, il faut ajouter le temps consacré à discuter de l’affaire avec le client, qui peut être estimé à 1 heure et 30 minutes selon le décompte précité, ainsi que le temps nécessaire pour faire des recherches juridiques et préparer les débats de première instance, temps pouvant être estimé à 2 heures et 30 minutes au plus, les 6 heures et 30 minutes ressortant du décompte devant être réduites pour les mêmes motifs que précédemment. Il est précisé que les frais de secrétariat, déjà compris dans les honoraires d’avocat, ne peuvent par contre être pris en considération (arrêts 6B_1272/2019 du 27 janvier 2020 consid. 4.1 et 6B_928/2014 du 10 mars 2016, consid. 3.3.2), de sorte qu’il y a lieu d’écarter les activités intitulées « Lettre à GG _________ », « Mail à M. HH _________ », « Lettre à II _________ », « Copie lettre du MP au client et II _________ », « Copie à II _________ » et « Mail à II _________ ». En outre, les frais de timbre ont été diminués pour tenir compte d’un montant de 1 fr. 10 par envoi par pli simple, 4 fr. 10 pour le renvoi du dossier pénal après consultation et 5 fr. 30 par envoi par pli recommandé (prix officiels pratiqués par la Poste Suisse, https://www.post.ch/fr/expedier-des-lettres/lettres-suisse). En définitive, l’ampleur et le temps utilement consacré par cet avocat pour les procédures préliminaires et de première instance peuvent être arrêtés à 17 heures, la rémunération horaire étant fixée à 260 fr., TVA et débours non compris (arrêt 6B_361/2018 du 15 juin 2018 consid. 6.4). Dans ses conditions, l’activité déployée en première instance justifie une rémunération de 5’000 fr., débours compris, un montant de 2’500 fr. étant mis à la charge de l’Etat.</w:t>
      </w:r>
    </w:p>
    <w:p>
      <w:r>
        <w:t>- 25 -</w:t>
      </w:r>
    </w:p>
    <w:p>
      <w:r>
        <w:rPr>
          <w:b/>
        </w:rPr>
        <w:t>E. 12.3</w:t>
      </w:r>
    </w:p>
    <w:p>
      <w:r>
        <w:t>En appel, l’activité du mandataire du prévenu a consisté en l’examen du jugement de première instance, en la rédaction de la déclaration d’appel (6 pages), en l’examen de l’appel-joint du Ministère public, ainsi qu’en la participation à l’audience des débats du 25 avril 2023, laquelle a duré 1 heure et 10 minutes. A cela, il faut ajouter le temps qu’il a consacré pour discuter de l’affaire avec son client et pour préparer les débats. Au surplus, le décompte LTar du 25 avril 2023 est corrigé conformément aux principes rappelés ci-dessus (cf. consid. 12.2). En définitive, l’ampleur et le temps utilement consacré par cet avocat pour la présente procédure d’appel peuvent être arrêtés à 7 heures. Dans ses conditions, l’activité déployée en appel justifie une rémunération de 2’000 fr., débours compris, laquelle est mise entièrement à la charge de l’Etat.</w:t>
      </w:r>
    </w:p>
    <w:p>
      <w:r>
        <w:rPr>
          <w:b/>
        </w:rPr>
        <w:t>E. 13</w:t>
      </w:r>
    </w:p>
    <w:p>
      <w:r>
        <w:t>Compte tenu de l’abandon de l’infraction dénoncée par W _________, celle-ci supporte ses frais d’intervention de première instance et d’appel.</w:t>
      </w:r>
    </w:p>
    <w:p>
      <w:r>
        <w:rPr>
          <w:b/>
        </w:rPr>
        <w:t>E. 14</w:t>
      </w:r>
    </w:p>
    <w:p>
      <w:r>
        <w:t>Il n'est pas non plus alloué de dépens à X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